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65DB312"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630DA9">
        <w:rPr>
          <w:rFonts w:ascii="Arial" w:hAnsi="Arial" w:cs="Arial"/>
          <w:b/>
          <w:bCs/>
          <w:sz w:val="28"/>
        </w:rPr>
        <w:tab/>
        <w:t xml:space="preserve">       </w:t>
      </w:r>
      <w:r w:rsidR="004D3C43">
        <w:rPr>
          <w:rFonts w:ascii="Arial" w:hAnsi="Arial" w:cs="Arial"/>
          <w:b/>
          <w:bCs/>
          <w:sz w:val="28"/>
        </w:rPr>
        <w:t xml:space="preserve"> </w:t>
      </w:r>
      <w:r w:rsidR="006061CF" w:rsidRPr="006061CF">
        <w:rPr>
          <w:rFonts w:ascii="Arial" w:hAnsi="Arial" w:cs="Arial"/>
          <w:b/>
          <w:bCs/>
          <w:sz w:val="28"/>
        </w:rPr>
        <w:t>R1-2100812</w:t>
      </w:r>
    </w:p>
    <w:p w14:paraId="6AAC82D6" w14:textId="5FF91B4B"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6A183C" w:rsidRPr="006A183C">
        <w:rPr>
          <w:rFonts w:ascii="Arial" w:hAnsi="Arial" w:cs="Arial"/>
          <w:b/>
          <w:bCs/>
          <w:sz w:val="28"/>
        </w:rPr>
        <w:t>January 25th – February 5th, 2021</w:t>
      </w:r>
    </w:p>
    <w:p w14:paraId="77244845" w14:textId="77777777" w:rsidR="00121B70" w:rsidRPr="007D37AD" w:rsidRDefault="00121B70">
      <w:pPr>
        <w:pBdr>
          <w:top w:val="single" w:sz="4" w:space="0" w:color="auto"/>
        </w:pBdr>
        <w:spacing w:after="0"/>
        <w:jc w:val="left"/>
        <w:rPr>
          <w:b/>
          <w:bCs/>
          <w:sz w:val="16"/>
          <w:szCs w:val="16"/>
        </w:rPr>
      </w:pPr>
    </w:p>
    <w:p w14:paraId="45F57AEC" w14:textId="3EE47164"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854BF7">
        <w:rPr>
          <w:b/>
          <w:lang w:eastAsia="zh-CN"/>
        </w:rPr>
        <w:t>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6C6C3E8" w:rsidR="00121B70" w:rsidRDefault="009631F9">
      <w:pPr>
        <w:spacing w:after="60"/>
        <w:ind w:left="1555" w:hanging="1555"/>
        <w:jc w:val="left"/>
        <w:rPr>
          <w:b/>
          <w:lang w:eastAsia="zh-CN"/>
        </w:rPr>
      </w:pPr>
      <w:r>
        <w:rPr>
          <w:b/>
        </w:rPr>
        <w:t>Title:</w:t>
      </w:r>
      <w:r>
        <w:rPr>
          <w:b/>
        </w:rPr>
        <w:tab/>
      </w:r>
      <w:r w:rsidR="00FE0B59" w:rsidRPr="00FE0B59">
        <w:rPr>
          <w:b/>
        </w:rPr>
        <w:t>Consideration on</w:t>
      </w:r>
      <w:r w:rsidR="002C2973" w:rsidRPr="002C2973">
        <w:rPr>
          <w:b/>
        </w:rPr>
        <w:t xml:space="preserve"> enhancements on HARQ</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The first objective of this Study is to identify scenarios applicable to NB-IoT/eMTC [RAN1, RAN2], including:</w:t>
            </w:r>
          </w:p>
          <w:p w14:paraId="48A40653"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Bands of interest in sub 6 GHz</w:t>
            </w:r>
          </w:p>
          <w:p w14:paraId="579385C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Device type with PC3 or PC5 (LEO and GEO) </w:t>
            </w:r>
          </w:p>
          <w:p w14:paraId="51800526"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Satellite constellation orbit LEO and GEO </w:t>
            </w:r>
          </w:p>
          <w:p w14:paraId="37526530"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Transparent payload.</w:t>
            </w:r>
          </w:p>
          <w:p w14:paraId="6F00A8D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Link budget</w:t>
            </w:r>
          </w:p>
          <w:p w14:paraId="075B42F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1: This first objective will be based on the scenarios documented in TR 38.821.</w:t>
            </w:r>
          </w:p>
          <w:p w14:paraId="5324AA03"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2: UE mobility assumptions follow terrestrial NB-IoT/eMTC assumptions.</w:t>
            </w:r>
          </w:p>
          <w:p w14:paraId="409B1C57"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p>
          <w:p w14:paraId="199B1AFC"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Aspects related to random access procedure/signals [RAN1, RAN2]</w:t>
            </w:r>
          </w:p>
          <w:p w14:paraId="01648A8C"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Mechanisms for time/frequency adjustment including Timing Advance, and UL frequency compensation indication [RAN1, RAN2]</w:t>
            </w:r>
          </w:p>
          <w:p w14:paraId="0923D822"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Timing offset related to scheduling and HARQ-ACK feedback [RAN1, RAN2]</w:t>
            </w:r>
          </w:p>
          <w:p w14:paraId="3F27377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    Aspects related to HARQ operation [RAN2, RAN1]</w:t>
            </w:r>
          </w:p>
          <w:p w14:paraId="5E87AE8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General aspects related to timers (e.g. SR, DRX, etc.) [RAN2]</w:t>
            </w:r>
          </w:p>
          <w:p w14:paraId="163F4E8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RAN2 aspects related to idle mode and connected mode mobility [RAN2]</w:t>
            </w:r>
          </w:p>
          <w:p w14:paraId="15B56B70"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RLF-based for NB-IoT</w:t>
            </w:r>
          </w:p>
          <w:p w14:paraId="6BE776F6"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Handover-based for eMTC</w:t>
            </w:r>
          </w:p>
          <w:p w14:paraId="29CB9BF4"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System information enhancements [RAN2]</w:t>
            </w:r>
          </w:p>
          <w:p w14:paraId="032A985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lastRenderedPageBreak/>
              <w:t xml:space="preserve">NOTE 3: </w:t>
            </w:r>
            <w:r w:rsidRPr="00F320C1">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F320C1">
              <w:rPr>
                <w:rFonts w:eastAsia="宋体"/>
                <w:sz w:val="20"/>
                <w:szCs w:val="20"/>
                <w:lang w:val="en-GB" w:eastAsia="zh-TW"/>
              </w:rPr>
              <w:t>Recommendations for NB-IoT and recommendations for eMTC will be documented in the conclusions.</w:t>
            </w:r>
          </w:p>
        </w:tc>
      </w:tr>
    </w:tbl>
    <w:p w14:paraId="369B77AA" w14:textId="632B1486"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854BF7">
        <w:rPr>
          <w:rFonts w:eastAsia="宋体"/>
          <w:lang w:eastAsia="x-none"/>
        </w:rPr>
        <w:t>a</w:t>
      </w:r>
      <w:r w:rsidR="00854BF7" w:rsidRPr="00854BF7">
        <w:rPr>
          <w:rFonts w:eastAsia="宋体"/>
          <w:lang w:eastAsia="x-none"/>
        </w:rPr>
        <w:t>spects related to HARQ operation</w:t>
      </w:r>
      <w:r w:rsidR="00854BF7">
        <w:rPr>
          <w:rFonts w:eastAsia="宋体"/>
          <w:lang w:eastAsia="x-none"/>
        </w:rPr>
        <w:t xml:space="preserve"> in IOT NTN</w:t>
      </w:r>
      <w:r w:rsidRPr="00F320C1">
        <w:rPr>
          <w:rFonts w:eastAsia="宋体"/>
          <w:lang w:eastAsia="zh-CN"/>
        </w:rPr>
        <w:t>.</w:t>
      </w:r>
    </w:p>
    <w:p w14:paraId="1602EFA4" w14:textId="77777777" w:rsidR="00B3553A" w:rsidRPr="00B33610" w:rsidRDefault="00B3553A" w:rsidP="00B3553A">
      <w:pPr>
        <w:rPr>
          <w:lang w:eastAsia="zh-CN"/>
        </w:rPr>
      </w:pPr>
    </w:p>
    <w:p w14:paraId="784526DF" w14:textId="4A8DBF42" w:rsidR="00C947B6" w:rsidRPr="00C947B6" w:rsidRDefault="00C947B6" w:rsidP="00C947B6">
      <w:pPr>
        <w:pStyle w:val="1"/>
        <w:rPr>
          <w:lang w:val="en-GB" w:eastAsia="zh-CN"/>
        </w:rPr>
      </w:pPr>
      <w:bookmarkStart w:id="1" w:name="OLE_LINK71"/>
      <w:bookmarkStart w:id="2" w:name="OLE_LINK72"/>
      <w:r>
        <w:rPr>
          <w:lang w:val="en-GB" w:eastAsia="zh-CN"/>
        </w:rPr>
        <w:t>E</w:t>
      </w:r>
      <w:r w:rsidRPr="00C947B6">
        <w:rPr>
          <w:lang w:val="en-GB" w:eastAsia="zh-CN"/>
        </w:rPr>
        <w:t>xtension of HARQ process number</w:t>
      </w:r>
    </w:p>
    <w:bookmarkEnd w:id="1"/>
    <w:bookmarkEnd w:id="2"/>
    <w:p w14:paraId="3EB4C809" w14:textId="6D2E1D47" w:rsidR="00D164A1" w:rsidRDefault="00D164A1" w:rsidP="00AE04C5">
      <w:pPr>
        <w:rPr>
          <w:lang w:val="en-GB" w:eastAsia="zh-CN"/>
        </w:rPr>
      </w:pPr>
      <w:r>
        <w:rPr>
          <w:rFonts w:hint="eastAsia"/>
          <w:lang w:val="en-GB" w:eastAsia="zh-CN"/>
        </w:rPr>
        <w:t>In RAN1#</w:t>
      </w:r>
      <w:r>
        <w:rPr>
          <w:lang w:val="en-GB" w:eastAsia="zh-CN"/>
        </w:rPr>
        <w:t>102e, the following agreement on e</w:t>
      </w:r>
      <w:r w:rsidRPr="00D164A1">
        <w:rPr>
          <w:lang w:val="en-GB" w:eastAsia="zh-CN"/>
        </w:rPr>
        <w:t>xtension of HARQ process number</w:t>
      </w:r>
      <w:r>
        <w:rPr>
          <w:lang w:val="en-GB" w:eastAsia="zh-CN"/>
        </w:rPr>
        <w:t xml:space="preserve"> has been achieved in NR NTN.</w:t>
      </w:r>
    </w:p>
    <w:tbl>
      <w:tblPr>
        <w:tblStyle w:val="aff1"/>
        <w:tblW w:w="0" w:type="auto"/>
        <w:tblLook w:val="04A0" w:firstRow="1" w:lastRow="0" w:firstColumn="1" w:lastColumn="0" w:noHBand="0" w:noVBand="1"/>
      </w:tblPr>
      <w:tblGrid>
        <w:gridCol w:w="9307"/>
      </w:tblGrid>
      <w:tr w:rsidR="00D164A1" w14:paraId="16FEB0E6" w14:textId="77777777" w:rsidTr="00D164A1">
        <w:tc>
          <w:tcPr>
            <w:tcW w:w="9307" w:type="dxa"/>
          </w:tcPr>
          <w:p w14:paraId="669C63AF" w14:textId="77777777" w:rsidR="00D164A1" w:rsidRPr="00D164A1" w:rsidRDefault="00D164A1" w:rsidP="00D164A1">
            <w:pPr>
              <w:autoSpaceDE/>
              <w:autoSpaceDN/>
              <w:adjustRightInd/>
              <w:snapToGrid/>
              <w:spacing w:after="0"/>
              <w:jc w:val="left"/>
              <w:rPr>
                <w:rFonts w:ascii="Calibri" w:eastAsia="宋体" w:hAnsi="Calibri" w:cs="Calibri"/>
                <w:lang w:eastAsia="x-none"/>
              </w:rPr>
            </w:pPr>
            <w:r w:rsidRPr="00D164A1">
              <w:rPr>
                <w:rFonts w:ascii="Calibri" w:eastAsia="宋体" w:hAnsi="Calibri" w:cs="Calibri"/>
                <w:highlight w:val="green"/>
                <w:lang w:eastAsia="x-none"/>
              </w:rPr>
              <w:t>Agreement:</w:t>
            </w:r>
          </w:p>
          <w:p w14:paraId="18A92324" w14:textId="77777777" w:rsidR="00D164A1" w:rsidRPr="00D164A1" w:rsidRDefault="00D164A1" w:rsidP="00D164A1">
            <w:pPr>
              <w:autoSpaceDE/>
              <w:autoSpaceDN/>
              <w:adjustRightInd/>
              <w:snapToGrid/>
              <w:spacing w:after="0"/>
              <w:jc w:val="left"/>
              <w:rPr>
                <w:rFonts w:ascii="Calibri" w:eastAsia="宋体" w:hAnsi="Calibri" w:cs="Calibri"/>
                <w:lang w:eastAsia="x-none"/>
              </w:rPr>
            </w:pPr>
            <w:r w:rsidRPr="00D164A1">
              <w:rPr>
                <w:rFonts w:ascii="Calibri" w:eastAsia="宋体" w:hAnsi="Calibri" w:cs="Calibri"/>
                <w:lang w:eastAsia="x-none"/>
              </w:rPr>
              <w:t>The extension of maximal HARQ process number can be considered with following assumptions:</w:t>
            </w:r>
          </w:p>
          <w:p w14:paraId="2BB5EB81" w14:textId="77777777" w:rsidR="00D164A1" w:rsidRPr="00D164A1" w:rsidRDefault="00D164A1" w:rsidP="00D164A1">
            <w:pPr>
              <w:numPr>
                <w:ilvl w:val="0"/>
                <w:numId w:val="41"/>
              </w:numPr>
              <w:autoSpaceDE/>
              <w:autoSpaceDN/>
              <w:adjustRightInd/>
              <w:snapToGrid/>
              <w:spacing w:after="0"/>
              <w:jc w:val="left"/>
              <w:rPr>
                <w:rFonts w:ascii="Calibri" w:eastAsia="宋体" w:hAnsi="Calibri" w:cs="Calibri"/>
                <w:lang w:eastAsia="x-none"/>
              </w:rPr>
            </w:pPr>
            <w:r w:rsidRPr="00D164A1">
              <w:rPr>
                <w:rFonts w:ascii="Calibri" w:eastAsia="宋体" w:hAnsi="Calibri" w:cs="Calibri"/>
                <w:lang w:eastAsia="x-none"/>
              </w:rPr>
              <w:t>The maximal supported HARQ process number is up to 32.</w:t>
            </w:r>
          </w:p>
          <w:p w14:paraId="7D187C04" w14:textId="77777777" w:rsidR="00D164A1" w:rsidRPr="00D164A1" w:rsidRDefault="00D164A1" w:rsidP="00D164A1">
            <w:pPr>
              <w:numPr>
                <w:ilvl w:val="0"/>
                <w:numId w:val="41"/>
              </w:numPr>
              <w:autoSpaceDE/>
              <w:autoSpaceDN/>
              <w:adjustRightInd/>
              <w:snapToGrid/>
              <w:spacing w:after="0"/>
              <w:jc w:val="left"/>
              <w:rPr>
                <w:rFonts w:ascii="Calibri" w:eastAsia="宋体" w:hAnsi="Calibri" w:cs="Calibri"/>
                <w:lang w:eastAsia="x-none"/>
              </w:rPr>
            </w:pPr>
            <w:r w:rsidRPr="00D164A1">
              <w:rPr>
                <w:rFonts w:ascii="Calibri" w:eastAsia="宋体" w:hAnsi="Calibri" w:cs="Calibri"/>
                <w:lang w:eastAsia="x-none"/>
              </w:rPr>
              <w:t>FFS: Support on the maximal HARQ process number is up to UE capability</w:t>
            </w:r>
          </w:p>
          <w:p w14:paraId="140821A0" w14:textId="3D077523" w:rsidR="00D164A1" w:rsidRPr="00D164A1" w:rsidRDefault="00D164A1" w:rsidP="00AE04C5">
            <w:pPr>
              <w:numPr>
                <w:ilvl w:val="0"/>
                <w:numId w:val="41"/>
              </w:numPr>
              <w:autoSpaceDE/>
              <w:autoSpaceDN/>
              <w:adjustRightInd/>
              <w:snapToGrid/>
              <w:spacing w:after="0"/>
              <w:jc w:val="left"/>
              <w:rPr>
                <w:rFonts w:ascii="Calibri" w:eastAsia="宋体" w:hAnsi="Calibri" w:cs="Calibri"/>
                <w:lang w:eastAsia="x-none"/>
              </w:rPr>
            </w:pPr>
            <w:r w:rsidRPr="00D164A1">
              <w:rPr>
                <w:rFonts w:ascii="Calibri" w:eastAsia="宋体" w:hAnsi="Calibri" w:cs="Calibri"/>
                <w:lang w:eastAsia="x-none"/>
              </w:rPr>
              <w:t>Minimizing the impacts on specification and scheduling</w:t>
            </w:r>
          </w:p>
        </w:tc>
      </w:tr>
    </w:tbl>
    <w:p w14:paraId="569354EE" w14:textId="77777777" w:rsidR="00D164A1" w:rsidRDefault="00D164A1" w:rsidP="00AE04C5">
      <w:pPr>
        <w:rPr>
          <w:lang w:val="en-GB" w:eastAsia="zh-CN"/>
        </w:rPr>
      </w:pPr>
    </w:p>
    <w:p w14:paraId="1D39076B" w14:textId="21D04D4C" w:rsidR="00240450" w:rsidRPr="00C67496" w:rsidRDefault="00834751" w:rsidP="00AE04C5">
      <w:r w:rsidRPr="00834751">
        <w:rPr>
          <w:lang w:val="en-GB" w:eastAsia="zh-CN"/>
        </w:rPr>
        <w:t xml:space="preserve">In the existing specifications, NB-IOT </w:t>
      </w:r>
      <w:r w:rsidR="00AE04C5" w:rsidRPr="00834751">
        <w:rPr>
          <w:lang w:val="en-GB" w:eastAsia="zh-CN"/>
        </w:rPr>
        <w:t xml:space="preserve">UE supports only two HARQ processes at most. </w:t>
      </w:r>
      <w:r w:rsidR="00BE0DB9" w:rsidRPr="00834751">
        <w:rPr>
          <w:lang w:val="en-GB" w:eastAsia="zh-CN"/>
        </w:rPr>
        <w:t>P</w:t>
      </w:r>
      <w:r w:rsidR="00221431" w:rsidRPr="00834751">
        <w:rPr>
          <w:lang w:val="en-GB" w:eastAsia="zh-CN"/>
        </w:rPr>
        <w:t xml:space="preserve">ayload for IoT UE is small and repetition are utilized to guarantee the coverage. The duration time for transmission of one packet could be large according to the repetition number. This will reduce the ratio of </w:t>
      </w:r>
      <w:r w:rsidR="0059715C" w:rsidRPr="00834751">
        <w:rPr>
          <w:lang w:val="en-GB" w:eastAsia="zh-CN"/>
        </w:rPr>
        <w:t>time</w:t>
      </w:r>
      <w:r w:rsidR="00221431" w:rsidRPr="00834751">
        <w:rPr>
          <w:lang w:val="en-GB" w:eastAsia="zh-CN"/>
        </w:rPr>
        <w:t xml:space="preserve"> for HARQ stalling over time for transmission and mitigate the impact of the HARQ stalling.</w:t>
      </w:r>
      <w:r w:rsidR="00810CCA" w:rsidRPr="00834751">
        <w:rPr>
          <w:lang w:val="en-GB" w:eastAsia="zh-CN"/>
        </w:rPr>
        <w:t xml:space="preserve"> Furthermore</w:t>
      </w:r>
      <w:r w:rsidRPr="00834751">
        <w:rPr>
          <w:lang w:val="en-GB" w:eastAsia="zh-CN"/>
        </w:rPr>
        <w:t xml:space="preserve">, in our view, </w:t>
      </w:r>
      <w:r w:rsidRPr="00834751">
        <w:t>the impact of extension of HARQ process number on data rates is marginal due to the NB-IoT processing delay for NPDSCH/NPUSCH and UL HARQ feedback processing. Reducing processing delay would require more capable DSP which would have significant impact on baseband cost in device.</w:t>
      </w:r>
      <w:r>
        <w:t xml:space="preserve"> </w:t>
      </w:r>
      <w:r w:rsidRPr="00834751">
        <w:t xml:space="preserve">Therefore, </w:t>
      </w:r>
      <w:r w:rsidR="007E6249">
        <w:t>e</w:t>
      </w:r>
      <w:r w:rsidRPr="00834751">
        <w:t>xtension of HARQ process number may not be needed given that the delay and data rate are not that critical for IoT applications.</w:t>
      </w:r>
    </w:p>
    <w:p w14:paraId="33D1090A" w14:textId="7405DFB0" w:rsidR="00B3553A" w:rsidRDefault="005C4E34" w:rsidP="00B3553A">
      <w:pPr>
        <w:rPr>
          <w:b/>
          <w:i/>
          <w:lang w:eastAsia="zh-CN"/>
        </w:rPr>
      </w:pPr>
      <w:r w:rsidRPr="005C4E34">
        <w:rPr>
          <w:rFonts w:hint="eastAsia"/>
          <w:b/>
          <w:i/>
          <w:lang w:eastAsia="zh-CN"/>
        </w:rPr>
        <w:t>Pro</w:t>
      </w:r>
      <w:r w:rsidRPr="005C4E34">
        <w:rPr>
          <w:b/>
          <w:i/>
          <w:lang w:eastAsia="zh-CN"/>
        </w:rPr>
        <w:t>p</w:t>
      </w:r>
      <w:r w:rsidRPr="005C4E34">
        <w:rPr>
          <w:rFonts w:hint="eastAsia"/>
          <w:b/>
          <w:i/>
          <w:lang w:eastAsia="zh-CN"/>
        </w:rPr>
        <w:t xml:space="preserve">osal </w:t>
      </w:r>
      <w:r w:rsidR="00333DA8">
        <w:rPr>
          <w:b/>
          <w:i/>
          <w:lang w:eastAsia="zh-CN"/>
        </w:rPr>
        <w:t>1</w:t>
      </w:r>
      <w:r w:rsidRPr="005C4E34">
        <w:rPr>
          <w:rFonts w:hint="eastAsia"/>
          <w:b/>
          <w:i/>
          <w:lang w:eastAsia="zh-CN"/>
        </w:rPr>
        <w:t>:</w:t>
      </w:r>
      <w:r w:rsidR="006643A8" w:rsidRPr="006643A8">
        <w:t xml:space="preserve"> </w:t>
      </w:r>
      <w:r w:rsidR="006643A8" w:rsidRPr="006643A8">
        <w:rPr>
          <w:b/>
          <w:i/>
          <w:lang w:eastAsia="zh-CN"/>
        </w:rPr>
        <w:t>Number of HARQ process should be kept</w:t>
      </w:r>
      <w:r w:rsidR="006643A8">
        <w:rPr>
          <w:b/>
          <w:i/>
          <w:lang w:eastAsia="zh-CN"/>
        </w:rPr>
        <w:t xml:space="preserve"> in IOT NTN.</w:t>
      </w:r>
    </w:p>
    <w:p w14:paraId="262424F9" w14:textId="77777777" w:rsidR="00C947B6" w:rsidRDefault="00C947B6" w:rsidP="00B3553A">
      <w:pPr>
        <w:rPr>
          <w:b/>
          <w:i/>
          <w:lang w:eastAsia="zh-CN"/>
        </w:rPr>
      </w:pPr>
    </w:p>
    <w:p w14:paraId="53AB1AB5" w14:textId="27C31A36" w:rsidR="00C947B6" w:rsidRPr="004137A0" w:rsidRDefault="004137A0" w:rsidP="004137A0">
      <w:pPr>
        <w:pStyle w:val="1"/>
        <w:rPr>
          <w:lang w:val="en-GB" w:eastAsia="zh-CN"/>
        </w:rPr>
      </w:pPr>
      <w:r w:rsidRPr="004137A0">
        <w:rPr>
          <w:lang w:val="en-GB" w:eastAsia="zh-CN"/>
        </w:rPr>
        <w:t>Disabling/enabling HARQ feedback</w:t>
      </w:r>
    </w:p>
    <w:p w14:paraId="1E50AD03" w14:textId="28423E44" w:rsidR="005C4E34" w:rsidRPr="00614D21" w:rsidRDefault="00614D21" w:rsidP="00B3553A">
      <w:pPr>
        <w:rPr>
          <w:lang w:eastAsia="zh-CN"/>
        </w:rPr>
      </w:pPr>
      <w:r>
        <w:rPr>
          <w:rFonts w:hint="eastAsia"/>
          <w:lang w:eastAsia="zh-CN"/>
        </w:rPr>
        <w:t>In R</w:t>
      </w:r>
      <w:r>
        <w:rPr>
          <w:lang w:eastAsia="zh-CN"/>
        </w:rPr>
        <w:t>AN1#102e, the following agreement on d</w:t>
      </w:r>
      <w:r w:rsidRPr="00614D21">
        <w:rPr>
          <w:lang w:eastAsia="zh-CN"/>
        </w:rPr>
        <w:t>isabling/enabling HARQ feedback</w:t>
      </w:r>
      <w:r>
        <w:rPr>
          <w:lang w:eastAsia="zh-CN"/>
        </w:rPr>
        <w:t xml:space="preserve"> has been achieved in NR NTN</w:t>
      </w:r>
      <w:r w:rsidR="00A07EC4">
        <w:rPr>
          <w:lang w:eastAsia="zh-CN"/>
        </w:rPr>
        <w:t xml:space="preserve"> [2]</w:t>
      </w:r>
      <w:r>
        <w:rPr>
          <w:lang w:eastAsia="zh-CN"/>
        </w:rPr>
        <w:t>.</w:t>
      </w:r>
    </w:p>
    <w:tbl>
      <w:tblPr>
        <w:tblStyle w:val="aff1"/>
        <w:tblW w:w="0" w:type="auto"/>
        <w:tblLook w:val="04A0" w:firstRow="1" w:lastRow="0" w:firstColumn="1" w:lastColumn="0" w:noHBand="0" w:noVBand="1"/>
      </w:tblPr>
      <w:tblGrid>
        <w:gridCol w:w="9307"/>
      </w:tblGrid>
      <w:tr w:rsidR="004137A0" w14:paraId="18F3C616" w14:textId="77777777" w:rsidTr="004137A0">
        <w:tc>
          <w:tcPr>
            <w:tcW w:w="9307" w:type="dxa"/>
          </w:tcPr>
          <w:p w14:paraId="5B02E5F9" w14:textId="77777777" w:rsidR="004137A0" w:rsidRPr="004137A0" w:rsidRDefault="004137A0" w:rsidP="004137A0">
            <w:pPr>
              <w:autoSpaceDE/>
              <w:autoSpaceDN/>
              <w:adjustRightInd/>
              <w:snapToGrid/>
              <w:spacing w:after="0"/>
              <w:jc w:val="left"/>
              <w:rPr>
                <w:rFonts w:ascii="Calibri" w:eastAsia="宋体" w:hAnsi="Calibri" w:cs="Calibri"/>
                <w:lang w:eastAsia="x-none"/>
              </w:rPr>
            </w:pPr>
            <w:r w:rsidRPr="004137A0">
              <w:rPr>
                <w:rFonts w:ascii="Calibri" w:eastAsia="宋体" w:hAnsi="Calibri" w:cs="Calibri"/>
                <w:highlight w:val="green"/>
                <w:lang w:eastAsia="x-none"/>
              </w:rPr>
              <w:t>Agreement:</w:t>
            </w:r>
          </w:p>
          <w:p w14:paraId="50E915BD" w14:textId="65793B06" w:rsidR="004137A0" w:rsidRPr="004137A0" w:rsidRDefault="004137A0" w:rsidP="004137A0">
            <w:pPr>
              <w:autoSpaceDE/>
              <w:autoSpaceDN/>
              <w:adjustRightInd/>
              <w:snapToGrid/>
              <w:spacing w:after="0"/>
              <w:jc w:val="left"/>
              <w:rPr>
                <w:rFonts w:ascii="Calibri" w:eastAsia="宋体" w:hAnsi="Calibri" w:cs="Calibri"/>
                <w:lang w:eastAsia="x-none"/>
              </w:rPr>
            </w:pPr>
            <w:r w:rsidRPr="004137A0">
              <w:rPr>
                <w:rFonts w:ascii="Calibri" w:eastAsia="宋体" w:hAnsi="Calibri" w:cs="Calibri"/>
                <w:lang w:eastAsia="x-none"/>
              </w:rPr>
              <w:t>Enabling/disabling on HARQ feedback for downlink transmission should be at least configurable per HARQ process via UE specific RRC signaling</w:t>
            </w:r>
          </w:p>
        </w:tc>
      </w:tr>
    </w:tbl>
    <w:p w14:paraId="1ABBCCFA" w14:textId="77777777" w:rsidR="004137A0" w:rsidRDefault="004137A0" w:rsidP="00B3553A">
      <w:pPr>
        <w:rPr>
          <w:b/>
          <w:i/>
          <w:lang w:eastAsia="zh-CN"/>
        </w:rPr>
      </w:pPr>
    </w:p>
    <w:p w14:paraId="018DC416" w14:textId="78965D31" w:rsidR="004137A0" w:rsidRDefault="00F3536F" w:rsidP="00B3553A">
      <w:pPr>
        <w:rPr>
          <w:lang w:eastAsia="zh-CN"/>
        </w:rPr>
      </w:pPr>
      <w:r w:rsidRPr="00F3536F">
        <w:rPr>
          <w:lang w:eastAsia="zh-CN"/>
        </w:rPr>
        <w:t xml:space="preserve">Disabling/enabling </w:t>
      </w:r>
      <w:r>
        <w:rPr>
          <w:lang w:eastAsia="zh-CN"/>
        </w:rPr>
        <w:t xml:space="preserve">HARQ </w:t>
      </w:r>
      <w:r w:rsidRPr="00F3536F">
        <w:rPr>
          <w:lang w:eastAsia="zh-CN"/>
        </w:rPr>
        <w:t>feedback wouldn’t cause UE complexity</w:t>
      </w:r>
      <w:r>
        <w:rPr>
          <w:lang w:eastAsia="zh-CN"/>
        </w:rPr>
        <w:t xml:space="preserve"> increasing</w:t>
      </w:r>
      <w:r w:rsidRPr="00F3536F">
        <w:rPr>
          <w:lang w:eastAsia="zh-CN"/>
        </w:rPr>
        <w:t xml:space="preserve">, and can save UE power consumption which is very beneficial for IOT device. </w:t>
      </w:r>
      <w:r>
        <w:rPr>
          <w:lang w:eastAsia="zh-CN"/>
        </w:rPr>
        <w:t>Furthermore</w:t>
      </w:r>
      <w:r w:rsidRPr="00F3536F">
        <w:rPr>
          <w:lang w:eastAsia="zh-CN"/>
        </w:rPr>
        <w:t xml:space="preserve">, the specification impact </w:t>
      </w:r>
      <w:r>
        <w:rPr>
          <w:lang w:eastAsia="zh-CN"/>
        </w:rPr>
        <w:t xml:space="preserve">of introducing </w:t>
      </w:r>
      <w:r w:rsidRPr="00F3536F">
        <w:rPr>
          <w:lang w:val="en-GB" w:eastAsia="zh-CN"/>
        </w:rPr>
        <w:t>disabling/enabling HARQ feedback</w:t>
      </w:r>
      <w:r w:rsidRPr="00F3536F">
        <w:rPr>
          <w:lang w:eastAsia="zh-CN"/>
        </w:rPr>
        <w:t xml:space="preserve"> is </w:t>
      </w:r>
      <w:r>
        <w:rPr>
          <w:lang w:eastAsia="zh-CN"/>
        </w:rPr>
        <w:t>very small.</w:t>
      </w:r>
      <w:r w:rsidRPr="00F3536F">
        <w:rPr>
          <w:lang w:eastAsia="zh-CN"/>
        </w:rPr>
        <w:t xml:space="preserve"> </w:t>
      </w:r>
      <w:r>
        <w:rPr>
          <w:lang w:eastAsia="zh-CN"/>
        </w:rPr>
        <w:t>T</w:t>
      </w:r>
      <w:r w:rsidRPr="00F3536F">
        <w:rPr>
          <w:lang w:eastAsia="zh-CN"/>
        </w:rPr>
        <w:t>he specification impact introducing a higher layer configuration for disabling of HARQ feedback.</w:t>
      </w:r>
      <w:r>
        <w:rPr>
          <w:lang w:eastAsia="zh-CN"/>
        </w:rPr>
        <w:t xml:space="preserve"> In our view, d</w:t>
      </w:r>
      <w:r w:rsidRPr="00F3536F">
        <w:rPr>
          <w:lang w:eastAsia="zh-CN"/>
        </w:rPr>
        <w:t>isabling/enabling HARQ feedback</w:t>
      </w:r>
      <w:r>
        <w:rPr>
          <w:lang w:eastAsia="zh-CN"/>
        </w:rPr>
        <w:t xml:space="preserve"> should be considered for IOT NTN.</w:t>
      </w:r>
    </w:p>
    <w:p w14:paraId="06A3FE4B" w14:textId="4902A012" w:rsidR="00F3536F" w:rsidRPr="00F3536F" w:rsidRDefault="00F3536F" w:rsidP="00B3553A">
      <w:pPr>
        <w:rPr>
          <w:b/>
          <w:i/>
          <w:lang w:eastAsia="zh-CN"/>
        </w:rPr>
      </w:pPr>
      <w:r w:rsidRPr="00F3536F">
        <w:rPr>
          <w:rFonts w:hint="eastAsia"/>
          <w:b/>
          <w:i/>
          <w:lang w:eastAsia="zh-CN"/>
        </w:rPr>
        <w:t xml:space="preserve">Proposal 2: </w:t>
      </w:r>
      <w:r w:rsidRPr="00F3536F">
        <w:rPr>
          <w:b/>
          <w:i/>
          <w:lang w:eastAsia="zh-CN"/>
        </w:rPr>
        <w:t>Disabling/enabling HARQ feedback should be considered for IOT NTN.</w:t>
      </w:r>
    </w:p>
    <w:p w14:paraId="5C5F4089" w14:textId="77777777" w:rsidR="00F3536F" w:rsidRPr="00F3536F" w:rsidRDefault="00F3536F" w:rsidP="00B3553A">
      <w:pPr>
        <w:rPr>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701CF1F9" w14:textId="09948825" w:rsidR="006643A8" w:rsidRDefault="006643A8" w:rsidP="00B3553A">
      <w:pPr>
        <w:autoSpaceDE/>
        <w:autoSpaceDN/>
        <w:adjustRightInd/>
        <w:snapToGrid/>
        <w:spacing w:after="0"/>
        <w:jc w:val="left"/>
        <w:rPr>
          <w:b/>
          <w:i/>
          <w:szCs w:val="20"/>
          <w:lang w:eastAsia="zh-CN"/>
        </w:rPr>
      </w:pPr>
      <w:r w:rsidRPr="006643A8">
        <w:rPr>
          <w:b/>
          <w:i/>
          <w:szCs w:val="20"/>
          <w:lang w:eastAsia="zh-CN"/>
        </w:rPr>
        <w:t xml:space="preserve">Proposal </w:t>
      </w:r>
      <w:r w:rsidR="000F6D7F">
        <w:rPr>
          <w:b/>
          <w:i/>
          <w:szCs w:val="20"/>
          <w:lang w:eastAsia="zh-CN"/>
        </w:rPr>
        <w:t>1</w:t>
      </w:r>
      <w:r w:rsidRPr="006643A8">
        <w:rPr>
          <w:b/>
          <w:i/>
          <w:szCs w:val="20"/>
          <w:lang w:eastAsia="zh-CN"/>
        </w:rPr>
        <w:t>: Number of HARQ process should be kept in IOT NTN.</w:t>
      </w:r>
    </w:p>
    <w:p w14:paraId="2653B16B" w14:textId="30E64E68" w:rsidR="00AB4BBE" w:rsidRDefault="000F6D7F" w:rsidP="00B3553A">
      <w:pPr>
        <w:autoSpaceDE/>
        <w:autoSpaceDN/>
        <w:adjustRightInd/>
        <w:snapToGrid/>
        <w:spacing w:after="0"/>
        <w:jc w:val="left"/>
        <w:rPr>
          <w:b/>
          <w:i/>
          <w:szCs w:val="20"/>
          <w:lang w:eastAsia="zh-CN"/>
        </w:rPr>
      </w:pPr>
      <w:r w:rsidRPr="000F6D7F">
        <w:rPr>
          <w:b/>
          <w:i/>
          <w:szCs w:val="20"/>
          <w:lang w:eastAsia="zh-CN"/>
        </w:rPr>
        <w:lastRenderedPageBreak/>
        <w:t>Proposal 2: Disabling/enabling HARQ feedback should be considered for IOT NTN.</w:t>
      </w:r>
    </w:p>
    <w:p w14:paraId="0E5ABF7B" w14:textId="77777777" w:rsidR="000F6D7F" w:rsidRPr="004D275E" w:rsidRDefault="000F6D7F"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77777777" w:rsidR="00302D3A" w:rsidRPr="002A6319" w:rsidRDefault="00302D3A" w:rsidP="00302D3A">
      <w:pPr>
        <w:pStyle w:val="References"/>
        <w:tabs>
          <w:tab w:val="num" w:pos="360"/>
        </w:tabs>
        <w:jc w:val="both"/>
        <w:rPr>
          <w:sz w:val="22"/>
          <w:szCs w:val="22"/>
          <w:lang w:eastAsia="zh-CN"/>
        </w:rPr>
      </w:pPr>
      <w:bookmarkStart w:id="3" w:name="_Ref51937982"/>
      <w:bookmarkStart w:id="4" w:name="_Ref30583942"/>
      <w:bookmarkEnd w:id="0"/>
      <w:r w:rsidRPr="002A6319">
        <w:rPr>
          <w:sz w:val="22"/>
          <w:szCs w:val="22"/>
          <w:lang w:eastAsia="zh-CN"/>
        </w:rPr>
        <w:t>RP-193235, “Study on NB-Io/eMTC support for Non-Terrestrial Network”, MediaTek Inc.</w:t>
      </w:r>
      <w:bookmarkEnd w:id="3"/>
      <w:r w:rsidRPr="002A6319">
        <w:rPr>
          <w:sz w:val="22"/>
          <w:szCs w:val="22"/>
          <w:lang w:eastAsia="zh-CN"/>
        </w:rPr>
        <w:t xml:space="preserve"> </w:t>
      </w:r>
      <w:bookmarkEnd w:id="4"/>
    </w:p>
    <w:p w14:paraId="43D2059F" w14:textId="7229AC6C" w:rsidR="00DA32F8" w:rsidRPr="00E553A6" w:rsidRDefault="00DA32F8" w:rsidP="00DA32F8">
      <w:pPr>
        <w:pStyle w:val="References"/>
        <w:rPr>
          <w:sz w:val="22"/>
          <w:szCs w:val="22"/>
          <w:lang w:eastAsia="zh-CN"/>
        </w:rPr>
      </w:pPr>
      <w:bookmarkStart w:id="5" w:name="_GoBack"/>
      <w:r w:rsidRPr="00E553A6">
        <w:rPr>
          <w:sz w:val="22"/>
          <w:szCs w:val="22"/>
          <w:lang w:eastAsia="zh-CN"/>
        </w:rPr>
        <w:t>3GPP RAN1#10</w:t>
      </w:r>
      <w:r w:rsidR="00A07EC4" w:rsidRPr="00E553A6">
        <w:rPr>
          <w:sz w:val="22"/>
          <w:szCs w:val="22"/>
          <w:lang w:eastAsia="zh-CN"/>
        </w:rPr>
        <w:t>2</w:t>
      </w:r>
      <w:r w:rsidRPr="00E553A6">
        <w:rPr>
          <w:sz w:val="22"/>
          <w:szCs w:val="22"/>
          <w:lang w:eastAsia="zh-CN"/>
        </w:rPr>
        <w:t>e Chairman’s Notes,</w:t>
      </w:r>
      <w:r w:rsidR="00A07EC4" w:rsidRPr="00E553A6">
        <w:rPr>
          <w:sz w:val="22"/>
          <w:szCs w:val="22"/>
          <w:lang w:eastAsia="zh-CN"/>
        </w:rPr>
        <w:t xml:space="preserve"> August 17 - 28, 2020</w:t>
      </w:r>
      <w:r w:rsidRPr="00E553A6">
        <w:rPr>
          <w:sz w:val="22"/>
          <w:szCs w:val="22"/>
          <w:lang w:eastAsia="zh-CN"/>
        </w:rPr>
        <w:t>.</w:t>
      </w:r>
    </w:p>
    <w:bookmarkEnd w:id="5"/>
    <w:p w14:paraId="41371A16" w14:textId="77777777" w:rsidR="00B3553A" w:rsidRPr="00DA32F8" w:rsidRDefault="00B3553A" w:rsidP="009F76FA">
      <w:pPr>
        <w:rPr>
          <w:lang w:eastAsia="zh-CN"/>
        </w:rPr>
      </w:pPr>
    </w:p>
    <w:sectPr w:rsidR="00B3553A" w:rsidRPr="00DA32F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DE4FE" w14:textId="77777777" w:rsidR="00CD4844" w:rsidRDefault="00CD4844" w:rsidP="00921B36">
      <w:pPr>
        <w:spacing w:after="0"/>
      </w:pPr>
      <w:r>
        <w:separator/>
      </w:r>
    </w:p>
  </w:endnote>
  <w:endnote w:type="continuationSeparator" w:id="0">
    <w:p w14:paraId="398307CD" w14:textId="77777777" w:rsidR="00CD4844" w:rsidRDefault="00CD484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4FD1E" w14:textId="77777777" w:rsidR="00CD4844" w:rsidRDefault="00CD4844" w:rsidP="00921B36">
      <w:pPr>
        <w:spacing w:after="0"/>
      </w:pPr>
      <w:r>
        <w:separator/>
      </w:r>
    </w:p>
  </w:footnote>
  <w:footnote w:type="continuationSeparator" w:id="0">
    <w:p w14:paraId="6B05EEDA" w14:textId="77777777" w:rsidR="00CD4844" w:rsidRDefault="00CD484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2"/>
  </w:num>
  <w:num w:numId="3">
    <w:abstractNumId w:val="0"/>
  </w:num>
  <w:num w:numId="4">
    <w:abstractNumId w:val="18"/>
  </w:num>
  <w:num w:numId="5">
    <w:abstractNumId w:val="36"/>
  </w:num>
  <w:num w:numId="6">
    <w:abstractNumId w:val="33"/>
  </w:num>
  <w:num w:numId="7">
    <w:abstractNumId w:val="20"/>
  </w:num>
  <w:num w:numId="8">
    <w:abstractNumId w:val="34"/>
  </w:num>
  <w:num w:numId="9">
    <w:abstractNumId w:val="5"/>
  </w:num>
  <w:num w:numId="10">
    <w:abstractNumId w:val="21"/>
  </w:num>
  <w:num w:numId="11">
    <w:abstractNumId w:val="23"/>
  </w:num>
  <w:num w:numId="12">
    <w:abstractNumId w:val="37"/>
  </w:num>
  <w:num w:numId="13">
    <w:abstractNumId w:val="24"/>
  </w:num>
  <w:num w:numId="14">
    <w:abstractNumId w:val="35"/>
  </w:num>
  <w:num w:numId="15">
    <w:abstractNumId w:val="19"/>
  </w:num>
  <w:num w:numId="16">
    <w:abstractNumId w:val="30"/>
  </w:num>
  <w:num w:numId="17">
    <w:abstractNumId w:val="22"/>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6"/>
  </w:num>
  <w:num w:numId="30">
    <w:abstractNumId w:val="2"/>
  </w:num>
  <w:num w:numId="31">
    <w:abstractNumId w:val="11"/>
  </w:num>
  <w:num w:numId="32">
    <w:abstractNumId w:val="10"/>
  </w:num>
  <w:num w:numId="33">
    <w:abstractNumId w:val="7"/>
  </w:num>
  <w:num w:numId="34">
    <w:abstractNumId w:val="29"/>
  </w:num>
  <w:num w:numId="35">
    <w:abstractNumId w:val="31"/>
  </w:num>
  <w:num w:numId="36">
    <w:abstractNumId w:val="9"/>
  </w:num>
  <w:num w:numId="37">
    <w:abstractNumId w:val="4"/>
  </w:num>
  <w:num w:numId="38">
    <w:abstractNumId w:val="12"/>
  </w:num>
  <w:num w:numId="39">
    <w:abstractNumId w:val="29"/>
  </w:num>
  <w:num w:numId="40">
    <w:abstractNumId w:val="29"/>
  </w:num>
  <w:num w:numId="41">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D7F"/>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38EE"/>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973"/>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3DA8"/>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A0"/>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BA9"/>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CF"/>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4D21"/>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4C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BF7"/>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01"/>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089"/>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EC4"/>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46B"/>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7B6"/>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4BE"/>
    <w:rsid w:val="00CD2721"/>
    <w:rsid w:val="00CD3548"/>
    <w:rsid w:val="00CD368D"/>
    <w:rsid w:val="00CD3784"/>
    <w:rsid w:val="00CD3AE3"/>
    <w:rsid w:val="00CD3F17"/>
    <w:rsid w:val="00CD43D0"/>
    <w:rsid w:val="00CD441B"/>
    <w:rsid w:val="00CD442B"/>
    <w:rsid w:val="00CD461B"/>
    <w:rsid w:val="00CD4650"/>
    <w:rsid w:val="00CD4844"/>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4A1"/>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34"/>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2"/>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3A6"/>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36F"/>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AF5474-02B7-4D3F-AF9E-5704D57A5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3</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230</cp:revision>
  <cp:lastPrinted>2015-03-27T14:25:00Z</cp:lastPrinted>
  <dcterms:created xsi:type="dcterms:W3CDTF">2020-08-07T05:21:00Z</dcterms:created>
  <dcterms:modified xsi:type="dcterms:W3CDTF">2021-01-18T09:11:00Z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